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5783" w14:textId="77777777" w:rsidR="00287154" w:rsidRDefault="00000000">
      <w:pPr>
        <w:pStyle w:val="Heading1"/>
      </w:pPr>
      <w:r>
        <w:t>Editorial Standards</w:t>
      </w:r>
    </w:p>
    <w:p w14:paraId="16BB29FD" w14:textId="77777777" w:rsidR="00287154" w:rsidRDefault="00000000">
      <w:pPr>
        <w:spacing w:after="200"/>
      </w:pPr>
      <w:r>
        <w:rPr>
          <w:i/>
          <w:iCs/>
          <w:color w:val="888888"/>
          <w:sz w:val="18"/>
          <w:szCs w:val="18"/>
        </w:rPr>
        <w:t>EDITING NOTE: Edit the content in this document freely. Headings, paragraphs, table cells, and bullet points are all editable. Return the file when done and corrections will be applied to the web page. Do not change the structure or formatting — only the text content.</w:t>
      </w:r>
    </w:p>
    <w:p w14:paraId="254689E1" w14:textId="77777777" w:rsidR="00287154" w:rsidRDefault="00000000">
      <w:r>
        <w:br/>
      </w:r>
    </w:p>
    <w:p w14:paraId="1E2454B5" w14:textId="77777777" w:rsidR="00287154" w:rsidRDefault="00000000">
      <w:pPr>
        <w:spacing w:after="200"/>
      </w:pPr>
      <w:r>
        <w:t>A solutions-based civic publication committed to facts, reason, and the principles of nonviolent communication. Four editorial lanes. One standard: rigorous, honest, forward-looking.</w:t>
      </w:r>
    </w:p>
    <w:p w14:paraId="72D260AB" w14:textId="77777777" w:rsidR="00287154" w:rsidRDefault="00000000">
      <w:pPr>
        <w:spacing w:before="120" w:after="240"/>
      </w:pPr>
      <w:r>
        <w:rPr>
          <w:i/>
          <w:iCs/>
          <w:color w:val="888888"/>
          <w:sz w:val="20"/>
          <w:szCs w:val="20"/>
        </w:rPr>
        <w:t>[DOWNLOAD BUTTON — Full Editorial Standards Document (.docx) — appears here on the web page]</w:t>
      </w:r>
    </w:p>
    <w:p w14:paraId="0BD373D0" w14:textId="77777777" w:rsidR="00287154" w:rsidRDefault="00000000">
      <w:pPr>
        <w:pStyle w:val="Heading2"/>
      </w:pPr>
      <w:r>
        <w:t>What this publication stands for</w:t>
      </w:r>
    </w:p>
    <w:p w14:paraId="4A0EB76C" w14:textId="279DEFF1" w:rsidR="00287154" w:rsidRDefault="00000000">
      <w:pPr>
        <w:spacing w:after="200"/>
      </w:pPr>
      <w:r>
        <w:t>This is a solutions-based civic publication that distributes op-eds and analytical pieces for placement in Tier 1, Tier 2, and Tier 3 newspapers and online news channels across the United States. Every piece meets a defined editorial standard: grounded in verifiable facts, reasoned argument, and the conviction that reasonable and responsible people of different views can find common ground when the conversation is honest.</w:t>
      </w:r>
    </w:p>
    <w:p w14:paraId="319F814D" w14:textId="77777777" w:rsidR="00287154" w:rsidRDefault="00000000">
      <w:pPr>
        <w:spacing w:after="200"/>
      </w:pPr>
      <w:r>
        <w:t>The publication holds all actors — governments, corporations, institutions, and advocacy organizations — to the same standard of factual accountability. It does not take partisan positions. It does not assign political blame. Its audience is people who want to help shift the cultural paradigm toward solutions.</w:t>
      </w:r>
    </w:p>
    <w:p w14:paraId="4F30435C" w14:textId="77777777" w:rsidR="00287154" w:rsidRDefault="00000000">
      <w:pPr>
        <w:pBdr>
          <w:left w:val="single" w:sz="12" w:space="12" w:color="32C7DB"/>
        </w:pBdr>
        <w:spacing w:before="240" w:after="80"/>
        <w:ind w:left="360"/>
      </w:pPr>
      <w:r>
        <w:rPr>
          <w:b/>
          <w:bCs/>
          <w:i/>
          <w:iCs/>
          <w:color w:val="213EED"/>
          <w:sz w:val="28"/>
          <w:szCs w:val="28"/>
        </w:rPr>
        <w:t>Organize the Future — Claim the Future</w:t>
      </w:r>
    </w:p>
    <w:p w14:paraId="0994F8D7" w14:textId="77777777" w:rsidR="00287154" w:rsidRDefault="00000000">
      <w:pPr>
        <w:pBdr>
          <w:left w:val="single" w:sz="12" w:space="12" w:color="32C7DB"/>
        </w:pBdr>
        <w:spacing w:after="240"/>
        <w:ind w:left="360"/>
      </w:pPr>
      <w:r>
        <w:rPr>
          <w:i/>
          <w:iCs/>
          <w:color w:val="666666"/>
          <w:sz w:val="20"/>
          <w:szCs w:val="20"/>
        </w:rPr>
        <w:t>The rallying cry — collective, forward, confrontational without antagonism</w:t>
      </w:r>
    </w:p>
    <w:p w14:paraId="331B1078" w14:textId="77777777" w:rsidR="00287154" w:rsidRDefault="00000000">
      <w:pPr>
        <w:pStyle w:val="Heading2"/>
      </w:pPr>
      <w:r>
        <w:t>Four entry points. One civic purpose.</w:t>
      </w:r>
    </w:p>
    <w:p w14:paraId="3053A68F" w14:textId="77777777" w:rsidR="00287154" w:rsidRDefault="00000000">
      <w:pPr>
        <w:spacing w:after="200"/>
      </w:pPr>
      <w:r>
        <w:t>Submissions are organized into four lanes. Each addresses a cluster of civic issues from a defined editorial perspective. Authors identify the appropriate lane and include the corresponding series description paragraph with every submission.</w:t>
      </w:r>
    </w:p>
    <w:p w14:paraId="1429830F" w14:textId="77777777" w:rsidR="00287154" w:rsidRDefault="00000000">
      <w:pPr>
        <w:pStyle w:val="Heading3"/>
      </w:pPr>
      <w:r>
        <w:t>Extreme Weather — Science Lane</w:t>
      </w:r>
    </w:p>
    <w:p w14:paraId="17959864" w14:textId="59CCA742" w:rsidR="00287154" w:rsidRDefault="00000000">
      <w:pPr>
        <w:spacing w:after="160"/>
      </w:pPr>
      <w:r>
        <w:t xml:space="preserve">Uses the formal scientific record — NOAA classifications, standardized disaster data, peer-reviewed science — as the </w:t>
      </w:r>
      <w:r w:rsidR="004F5560">
        <w:t xml:space="preserve">primary </w:t>
      </w:r>
      <w:r>
        <w:t>basis for public discussion of observable, documented conditions.</w:t>
      </w:r>
      <w:r w:rsidR="004F5560">
        <w:t xml:space="preserve"> As these government and science-based sources are running behind the needs of this type of reporting, it is necessary to turn to highly reputable journalism and on-line information sources. The authors do their best to disclose the category for any factual reference.</w:t>
      </w:r>
    </w:p>
    <w:p w14:paraId="6103E1CF" w14:textId="77777777" w:rsidR="00287154" w:rsidRDefault="00000000">
      <w:pPr>
        <w:spacing w:after="160"/>
      </w:pPr>
      <w:r>
        <w:t>Formal classifications (Winter Storm, Billion Dollar, Extreme) are used precisely and consistently. Arguments move from evidence to civic obligation without substituting rhetoric for fact.</w:t>
      </w:r>
    </w:p>
    <w:p w14:paraId="6CFAA5DA" w14:textId="77777777" w:rsidR="00287154" w:rsidRDefault="00000000">
      <w:pPr>
        <w:spacing w:after="40"/>
      </w:pPr>
      <w:r>
        <w:rPr>
          <w:b/>
          <w:bCs/>
          <w:sz w:val="22"/>
          <w:szCs w:val="22"/>
        </w:rPr>
        <w:t xml:space="preserve">Common ground: </w:t>
      </w:r>
      <w:r>
        <w:rPr>
          <w:sz w:val="22"/>
          <w:szCs w:val="22"/>
        </w:rPr>
        <w:t>Indifference to documented, escalating public safety risk</w:t>
      </w:r>
    </w:p>
    <w:p w14:paraId="66B98C5C" w14:textId="77777777" w:rsidR="00287154" w:rsidRDefault="00000000">
      <w:pPr>
        <w:spacing w:after="240"/>
      </w:pPr>
      <w:r>
        <w:rPr>
          <w:b/>
          <w:bCs/>
          <w:sz w:val="22"/>
          <w:szCs w:val="22"/>
        </w:rPr>
        <w:lastRenderedPageBreak/>
        <w:t xml:space="preserve">Unified action: </w:t>
      </w:r>
      <w:r>
        <w:rPr>
          <w:sz w:val="22"/>
          <w:szCs w:val="22"/>
        </w:rPr>
        <w:t>Restore federal data, fund preparation, hold officials accountable</w:t>
      </w:r>
    </w:p>
    <w:p w14:paraId="774AA279" w14:textId="77777777" w:rsidR="00287154" w:rsidRDefault="00000000">
      <w:pPr>
        <w:pStyle w:val="Heading3"/>
      </w:pPr>
      <w:r>
        <w:t>Democratic Republic — Civic Lane</w:t>
      </w:r>
    </w:p>
    <w:p w14:paraId="0548023C" w14:textId="648DE478" w:rsidR="00287154" w:rsidRDefault="00000000">
      <w:pPr>
        <w:spacing w:after="160"/>
      </w:pPr>
      <w:r>
        <w:t>Takes as its editorial standard the founding framework of</w:t>
      </w:r>
      <w:r w:rsidR="004F5560">
        <w:t xml:space="preserve"> the Declaration of Independence and the </w:t>
      </w:r>
      <w:r>
        <w:t>American constitutional governance — that elected representatives are accountable to the people they serve.</w:t>
      </w:r>
    </w:p>
    <w:p w14:paraId="368A5818" w14:textId="77777777" w:rsidR="00287154" w:rsidRDefault="00000000">
      <w:pPr>
        <w:spacing w:after="160"/>
      </w:pPr>
      <w:r>
        <w:t>Measures conduct against that defined standard rather than partisan positions. Holds all actors regardless of affiliation to the obligations the system requires.</w:t>
      </w:r>
    </w:p>
    <w:p w14:paraId="74624F35" w14:textId="77777777" w:rsidR="00287154" w:rsidRDefault="00000000">
      <w:pPr>
        <w:spacing w:after="40"/>
      </w:pPr>
      <w:r>
        <w:rPr>
          <w:b/>
          <w:bCs/>
          <w:sz w:val="22"/>
          <w:szCs w:val="22"/>
        </w:rPr>
        <w:t xml:space="preserve">Common ground: </w:t>
      </w:r>
      <w:r>
        <w:rPr>
          <w:sz w:val="22"/>
          <w:szCs w:val="22"/>
        </w:rPr>
        <w:t>Failure of elected accountability regardless of party</w:t>
      </w:r>
    </w:p>
    <w:p w14:paraId="7A8590D2" w14:textId="77777777" w:rsidR="00287154" w:rsidRDefault="00000000">
      <w:pPr>
        <w:spacing w:after="240"/>
      </w:pPr>
      <w:r>
        <w:rPr>
          <w:b/>
          <w:bCs/>
          <w:sz w:val="22"/>
          <w:szCs w:val="22"/>
        </w:rPr>
        <w:t xml:space="preserve">Unified action: </w:t>
      </w:r>
      <w:r>
        <w:rPr>
          <w:sz w:val="22"/>
          <w:szCs w:val="22"/>
        </w:rPr>
        <w:t>Civic engagement, transparency, restoration of accountability norms</w:t>
      </w:r>
    </w:p>
    <w:p w14:paraId="7111D022" w14:textId="77777777" w:rsidR="00287154" w:rsidRDefault="00000000">
      <w:pPr>
        <w:pStyle w:val="Heading3"/>
      </w:pPr>
      <w:r>
        <w:t>Where Partisans Agree — Accountability Lane</w:t>
      </w:r>
    </w:p>
    <w:p w14:paraId="536A8E54" w14:textId="77777777" w:rsidR="00287154" w:rsidRDefault="00000000">
      <w:pPr>
        <w:spacing w:after="160"/>
      </w:pPr>
      <w:r>
        <w:t>Finds the issues that cross every political line — problems no party owns and no ideology has solved — and builds the case for action from shared facts rather than shared politics.</w:t>
      </w:r>
    </w:p>
    <w:p w14:paraId="39E30E99" w14:textId="77777777" w:rsidR="00287154" w:rsidRDefault="00000000">
      <w:pPr>
        <w:spacing w:after="160"/>
      </w:pPr>
      <w:r>
        <w:t>Applies the same factual scrutiny to all actors. The standard is evidence; the argument is that people of different views can agree on more than the current conversation suggests.</w:t>
      </w:r>
    </w:p>
    <w:p w14:paraId="56B3D481" w14:textId="77777777" w:rsidR="00287154" w:rsidRDefault="00000000">
      <w:pPr>
        <w:spacing w:after="40"/>
      </w:pPr>
      <w:r>
        <w:rPr>
          <w:b/>
          <w:bCs/>
          <w:sz w:val="22"/>
          <w:szCs w:val="22"/>
        </w:rPr>
        <w:t xml:space="preserve">Common ground: </w:t>
      </w:r>
      <w:r>
        <w:rPr>
          <w:sz w:val="22"/>
          <w:szCs w:val="22"/>
        </w:rPr>
        <w:t>Shared facts and failures that cross political lines</w:t>
      </w:r>
    </w:p>
    <w:p w14:paraId="4BEC394C" w14:textId="77777777" w:rsidR="00287154" w:rsidRDefault="00000000">
      <w:pPr>
        <w:spacing w:after="240"/>
      </w:pPr>
      <w:r>
        <w:rPr>
          <w:b/>
          <w:bCs/>
          <w:sz w:val="22"/>
          <w:szCs w:val="22"/>
        </w:rPr>
        <w:t xml:space="preserve">Unified action: </w:t>
      </w:r>
      <w:r>
        <w:rPr>
          <w:sz w:val="22"/>
          <w:szCs w:val="22"/>
        </w:rPr>
        <w:t>Honest accounting, cross-partisan scrutiny, solutions that work for everyone</w:t>
      </w:r>
    </w:p>
    <w:p w14:paraId="405EE9AF" w14:textId="77777777" w:rsidR="00287154" w:rsidRDefault="00000000">
      <w:pPr>
        <w:pStyle w:val="Heading3"/>
      </w:pPr>
      <w:r>
        <w:t>Live the Future — Community Lane</w:t>
      </w:r>
    </w:p>
    <w:p w14:paraId="1437A695" w14:textId="56DD43ED" w:rsidR="00287154" w:rsidRDefault="00691A5C">
      <w:pPr>
        <w:spacing w:after="160"/>
      </w:pPr>
      <w:r>
        <w:t xml:space="preserve">Provides examples of how individuals and communities have and can build lives that help claim a strong future. </w:t>
      </w:r>
      <w:r w:rsidR="00000000">
        <w:t>Addresses the practical, community-level conditions that determine whether people can build resilient, sustainable lives together. Bioregional science, agricultural knowledge, long-term field observation.</w:t>
      </w:r>
      <w:r>
        <w:t xml:space="preserve"> </w:t>
      </w:r>
    </w:p>
    <w:p w14:paraId="35FE6AF6" w14:textId="77777777" w:rsidR="00287154" w:rsidRDefault="00000000">
      <w:pPr>
        <w:spacing w:after="160"/>
      </w:pPr>
      <w:r>
        <w:t>Treats local and regional solutions as the essential complement to national policy. The most accessible entry point in the suite.</w:t>
      </w:r>
    </w:p>
    <w:p w14:paraId="7C5A281F" w14:textId="77777777" w:rsidR="00287154" w:rsidRDefault="00000000">
      <w:pPr>
        <w:spacing w:after="40"/>
      </w:pPr>
      <w:r>
        <w:rPr>
          <w:b/>
          <w:bCs/>
          <w:sz w:val="22"/>
          <w:szCs w:val="22"/>
        </w:rPr>
        <w:t xml:space="preserve">Common ground: </w:t>
      </w:r>
      <w:r>
        <w:rPr>
          <w:sz w:val="22"/>
          <w:szCs w:val="22"/>
        </w:rPr>
        <w:t>Short-term thinking that sacrifices community wellbeing</w:t>
      </w:r>
    </w:p>
    <w:p w14:paraId="29C2156A" w14:textId="77777777" w:rsidR="00287154" w:rsidRDefault="00000000">
      <w:pPr>
        <w:spacing w:after="240"/>
      </w:pPr>
      <w:r>
        <w:rPr>
          <w:b/>
          <w:bCs/>
          <w:sz w:val="22"/>
          <w:szCs w:val="22"/>
        </w:rPr>
        <w:t xml:space="preserve">Unified action: </w:t>
      </w:r>
      <w:r>
        <w:rPr>
          <w:sz w:val="22"/>
          <w:szCs w:val="22"/>
        </w:rPr>
        <w:t>Local solutions, bioregional awareness, community planning</w:t>
      </w:r>
    </w:p>
    <w:p w14:paraId="15BC4992" w14:textId="77777777" w:rsidR="00287154" w:rsidRDefault="00000000">
      <w:pPr>
        <w:pBdr>
          <w:left w:val="single" w:sz="12" w:space="12" w:color="213EED"/>
        </w:pBdr>
        <w:spacing w:before="240" w:after="80"/>
        <w:ind w:left="360"/>
      </w:pPr>
      <w:r>
        <w:rPr>
          <w:i/>
          <w:iCs/>
          <w:color w:val="888888"/>
          <w:sz w:val="18"/>
          <w:szCs w:val="18"/>
        </w:rPr>
        <w:t>Example series description — Extreme Weather lane</w:t>
      </w:r>
    </w:p>
    <w:p w14:paraId="735F1325" w14:textId="77777777" w:rsidR="00287154" w:rsidRDefault="00000000">
      <w:pPr>
        <w:pBdr>
          <w:left w:val="single" w:sz="12" w:space="12" w:color="213EED"/>
        </w:pBdr>
        <w:spacing w:after="240"/>
        <w:ind w:left="360"/>
      </w:pPr>
      <w:r>
        <w:rPr>
          <w:i/>
          <w:iCs/>
          <w:sz w:val="22"/>
          <w:szCs w:val="22"/>
        </w:rPr>
        <w:t>This submission is part of Organize the Future — Claim the Future, a solutions-based civic series built on facts, reason, and the principles of nonviolent communication. This piece appears in the Extreme Weather lane, which uses the formal scientific record as the basis for public discussion of observable, documented conditions. All content in this lane meets the editorial standard of scientific authority: claims are grounded in peer-reviewed science or official federal data, formal classifications are used precisely and consistently, and the argument moves from evidence to civic obligation without substituting rhetoric for fact.</w:t>
      </w:r>
    </w:p>
    <w:p w14:paraId="216E599F" w14:textId="77777777" w:rsidR="00287154" w:rsidRDefault="00000000">
      <w:pPr>
        <w:spacing w:after="240"/>
      </w:pPr>
      <w:r>
        <w:rPr>
          <w:i/>
          <w:iCs/>
          <w:color w:val="666666"/>
          <w:sz w:val="22"/>
          <w:szCs w:val="22"/>
        </w:rPr>
        <w:t>Full series descriptions for all four lanes are included in the downloadable Word document and in the submission package.</w:t>
      </w:r>
    </w:p>
    <w:p w14:paraId="2170E0E3" w14:textId="77777777" w:rsidR="00287154" w:rsidRDefault="00000000">
      <w:pPr>
        <w:pStyle w:val="Heading2"/>
      </w:pPr>
      <w:r>
        <w:lastRenderedPageBreak/>
        <w:t>Standards every submission must meet</w:t>
      </w:r>
    </w:p>
    <w:p w14:paraId="027019D1" w14:textId="77777777" w:rsidR="00287154" w:rsidRDefault="00000000">
      <w:pPr>
        <w:pStyle w:val="Heading3"/>
      </w:pPr>
      <w:r>
        <w:t>Outlet tiers and word counts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287154" w14:paraId="4F28E76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EF0FA"/>
            <w:tcMar>
              <w:top w:w="80" w:type="dxa"/>
              <w:left w:w="120" w:type="dxa"/>
              <w:bottom w:w="80" w:type="dxa"/>
              <w:right w:w="120" w:type="dxa"/>
            </w:tcMar>
          </w:tcPr>
          <w:p w14:paraId="219B26FE" w14:textId="77777777" w:rsidR="00287154" w:rsidRDefault="00000000">
            <w:r>
              <w:rPr>
                <w:b/>
                <w:bCs/>
                <w:sz w:val="22"/>
                <w:szCs w:val="22"/>
              </w:rPr>
              <w:t>Tier 1 — National</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339D5D" w14:textId="558ABA34" w:rsidR="00287154" w:rsidRDefault="00000000">
            <w:r>
              <w:rPr>
                <w:sz w:val="22"/>
                <w:szCs w:val="22"/>
              </w:rPr>
              <w:t xml:space="preserve">New York Times, Washington Post, </w:t>
            </w:r>
            <w:r w:rsidR="00691A5C">
              <w:rPr>
                <w:sz w:val="22"/>
                <w:szCs w:val="22"/>
              </w:rPr>
              <w:t>Etc</w:t>
            </w:r>
            <w:r>
              <w:rPr>
                <w:sz w:val="22"/>
                <w:szCs w:val="22"/>
              </w:rPr>
              <w:t>. 700–900 words. Highest precision and attribution standards.</w:t>
            </w:r>
          </w:p>
        </w:tc>
      </w:tr>
      <w:tr w:rsidR="00287154" w14:paraId="71F9210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EF0FA"/>
            <w:tcMar>
              <w:top w:w="80" w:type="dxa"/>
              <w:left w:w="120" w:type="dxa"/>
              <w:bottom w:w="80" w:type="dxa"/>
              <w:right w:w="120" w:type="dxa"/>
            </w:tcMar>
          </w:tcPr>
          <w:p w14:paraId="6F4151F9" w14:textId="77777777" w:rsidR="00287154" w:rsidRDefault="00000000">
            <w:r>
              <w:rPr>
                <w:b/>
                <w:bCs/>
                <w:sz w:val="22"/>
                <w:szCs w:val="22"/>
              </w:rPr>
              <w:t>Tier 2 — Regional Daily</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2A037" w14:textId="77777777" w:rsidR="00287154" w:rsidRDefault="00000000">
            <w:r>
              <w:rPr>
                <w:sz w:val="22"/>
                <w:szCs w:val="22"/>
              </w:rPr>
              <w:t>Metro dailies. 600–800 words. Primary submission target. Strong thesis, AP Style, local relevance.</w:t>
            </w:r>
          </w:p>
        </w:tc>
      </w:tr>
      <w:tr w:rsidR="00287154" w14:paraId="3323E4E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EF0FA"/>
            <w:tcMar>
              <w:top w:w="80" w:type="dxa"/>
              <w:left w:w="120" w:type="dxa"/>
              <w:bottom w:w="80" w:type="dxa"/>
              <w:right w:w="120" w:type="dxa"/>
            </w:tcMar>
          </w:tcPr>
          <w:p w14:paraId="7D756C46" w14:textId="77777777" w:rsidR="00287154" w:rsidRDefault="00000000">
            <w:r>
              <w:rPr>
                <w:b/>
                <w:bCs/>
                <w:sz w:val="22"/>
                <w:szCs w:val="22"/>
              </w:rPr>
              <w:t>Tier 3 — Community</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C7AC26" w14:textId="77777777" w:rsidR="00287154" w:rsidRDefault="00000000">
            <w:r>
              <w:rPr>
                <w:sz w:val="22"/>
                <w:szCs w:val="22"/>
              </w:rPr>
              <w:t>Local newspapers. 400–600 words. Accessible language, hyper-local relevance, plain English.</w:t>
            </w:r>
          </w:p>
        </w:tc>
      </w:tr>
      <w:tr w:rsidR="00287154" w14:paraId="0A87EBB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EF0FA"/>
            <w:tcMar>
              <w:top w:w="80" w:type="dxa"/>
              <w:left w:w="120" w:type="dxa"/>
              <w:bottom w:w="80" w:type="dxa"/>
              <w:right w:w="120" w:type="dxa"/>
            </w:tcMar>
          </w:tcPr>
          <w:p w14:paraId="031052A0" w14:textId="77777777" w:rsidR="00287154" w:rsidRDefault="00000000">
            <w:r>
              <w:rPr>
                <w:b/>
                <w:bCs/>
                <w:sz w:val="22"/>
                <w:szCs w:val="22"/>
              </w:rPr>
              <w:t>Online Channels</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E7129" w14:textId="77777777" w:rsidR="00287154" w:rsidRDefault="00000000">
            <w:r>
              <w:rPr>
                <w:sz w:val="22"/>
                <w:szCs w:val="22"/>
              </w:rPr>
              <w:t>Axios, The Hill, Politico. 500–750 words. Scannable, front-loaded, web-appropriate.</w:t>
            </w:r>
          </w:p>
        </w:tc>
      </w:tr>
    </w:tbl>
    <w:p w14:paraId="1B6BAB32" w14:textId="77777777" w:rsidR="00287154" w:rsidRDefault="00287154">
      <w:pPr>
        <w:spacing w:before="240"/>
      </w:pPr>
    </w:p>
    <w:p w14:paraId="0C936878" w14:textId="77777777" w:rsidR="00287154" w:rsidRDefault="00000000">
      <w:pPr>
        <w:pStyle w:val="Heading3"/>
      </w:pPr>
      <w:r>
        <w:t>Editorial standards applied to every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287154" w14:paraId="6C058F4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32C7DB"/>
            <w:tcMar>
              <w:top w:w="80" w:type="dxa"/>
              <w:left w:w="120" w:type="dxa"/>
              <w:bottom w:w="80" w:type="dxa"/>
              <w:right w:w="120" w:type="dxa"/>
            </w:tcMar>
          </w:tcPr>
          <w:p w14:paraId="0E1B8C21" w14:textId="77777777" w:rsidR="00287154" w:rsidRDefault="00000000">
            <w:r>
              <w:rPr>
                <w:b/>
                <w:bCs/>
                <w:color w:val="FFFFFF"/>
                <w:sz w:val="20"/>
                <w:szCs w:val="20"/>
              </w:rPr>
              <w:t>AP Style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DB7ADF" w14:textId="77777777" w:rsidR="00287154" w:rsidRDefault="00000000">
            <w:r>
              <w:rPr>
                <w:sz w:val="22"/>
                <w:szCs w:val="22"/>
              </w:rPr>
              <w:t>Full AP Style review: numbers, dates, titles, punctuation, abbreviations, capitalization. Current AP Stylebook standards throughout.</w:t>
            </w:r>
          </w:p>
        </w:tc>
      </w:tr>
      <w:tr w:rsidR="00287154" w14:paraId="10B8B94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32C7DB"/>
            <w:tcMar>
              <w:top w:w="80" w:type="dxa"/>
              <w:left w:w="120" w:type="dxa"/>
              <w:bottom w:w="80" w:type="dxa"/>
              <w:right w:w="120" w:type="dxa"/>
            </w:tcMar>
          </w:tcPr>
          <w:p w14:paraId="2C56A7EE" w14:textId="77777777" w:rsidR="00287154" w:rsidRDefault="00000000">
            <w:r>
              <w:rPr>
                <w:b/>
                <w:bCs/>
                <w:color w:val="FFFFFF"/>
                <w:sz w:val="20"/>
                <w:szCs w:val="20"/>
              </w:rPr>
              <w:t>Structure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752929" w14:textId="77777777" w:rsidR="00287154" w:rsidRDefault="00000000">
            <w:r>
              <w:rPr>
                <w:sz w:val="22"/>
                <w:szCs w:val="22"/>
              </w:rPr>
              <w:t>Thesis in paragraph one. Lede leads with argument. Three-section architecture: news hook → data → obligation. Closing delivers force.</w:t>
            </w:r>
          </w:p>
        </w:tc>
      </w:tr>
      <w:tr w:rsidR="00287154" w14:paraId="51A2EB4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32C7DB"/>
            <w:tcMar>
              <w:top w:w="80" w:type="dxa"/>
              <w:left w:w="120" w:type="dxa"/>
              <w:bottom w:w="80" w:type="dxa"/>
              <w:right w:w="120" w:type="dxa"/>
            </w:tcMar>
          </w:tcPr>
          <w:p w14:paraId="19A79E4D" w14:textId="77777777" w:rsidR="00287154" w:rsidRDefault="00000000">
            <w:r>
              <w:rPr>
                <w:b/>
                <w:bCs/>
                <w:color w:val="FFFFFF"/>
                <w:sz w:val="20"/>
                <w:szCs w:val="20"/>
              </w:rPr>
              <w:t>Classifications</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709F7A" w14:textId="77777777" w:rsidR="00287154" w:rsidRDefault="00000000">
            <w:r>
              <w:rPr>
                <w:sz w:val="22"/>
                <w:szCs w:val="22"/>
              </w:rPr>
              <w:t>Formal scientific, legal, and governmental classification terms are capitalized consistently and introduced with a combined parenthetical on first use.</w:t>
            </w:r>
          </w:p>
        </w:tc>
      </w:tr>
      <w:tr w:rsidR="00287154" w14:paraId="0CA06E1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32C7DB"/>
            <w:tcMar>
              <w:top w:w="80" w:type="dxa"/>
              <w:left w:w="120" w:type="dxa"/>
              <w:bottom w:w="80" w:type="dxa"/>
              <w:right w:w="120" w:type="dxa"/>
            </w:tcMar>
          </w:tcPr>
          <w:p w14:paraId="7229DCF5" w14:textId="77777777" w:rsidR="00287154" w:rsidRDefault="00000000">
            <w:r>
              <w:rPr>
                <w:b/>
                <w:bCs/>
                <w:color w:val="FFFFFF"/>
                <w:sz w:val="20"/>
                <w:szCs w:val="20"/>
              </w:rPr>
              <w:t>Author’s Note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0EAA19" w14:textId="77777777" w:rsidR="00287154" w:rsidRDefault="00000000">
            <w:r>
              <w:rPr>
                <w:sz w:val="22"/>
                <w:szCs w:val="22"/>
              </w:rPr>
              <w:t>Any intentional non-standard styling decision is documented in an Author’s Note to Editor submitted with the manuscript.</w:t>
            </w:r>
          </w:p>
        </w:tc>
      </w:tr>
      <w:tr w:rsidR="00287154" w14:paraId="292B961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32C7DB"/>
            <w:tcMar>
              <w:top w:w="80" w:type="dxa"/>
              <w:left w:w="120" w:type="dxa"/>
              <w:bottom w:w="80" w:type="dxa"/>
              <w:right w:w="120" w:type="dxa"/>
            </w:tcMar>
          </w:tcPr>
          <w:p w14:paraId="01ACC04E" w14:textId="77777777" w:rsidR="00287154" w:rsidRDefault="00000000">
            <w:r>
              <w:rPr>
                <w:b/>
                <w:bCs/>
                <w:color w:val="FFFFFF"/>
                <w:sz w:val="20"/>
                <w:szCs w:val="20"/>
              </w:rPr>
              <w:t>Series ID</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5A102E" w14:textId="77777777" w:rsidR="00287154" w:rsidRDefault="00000000">
            <w:r>
              <w:rPr>
                <w:sz w:val="22"/>
                <w:szCs w:val="22"/>
              </w:rPr>
              <w:t>The series description paragraph for the appropriate lane accompanies every submission in the manuscript and pitch email.</w:t>
            </w:r>
          </w:p>
        </w:tc>
      </w:tr>
      <w:tr w:rsidR="00287154" w14:paraId="5128CD4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32C7DB"/>
            <w:tcMar>
              <w:top w:w="80" w:type="dxa"/>
              <w:left w:w="120" w:type="dxa"/>
              <w:bottom w:w="80" w:type="dxa"/>
              <w:right w:w="120" w:type="dxa"/>
            </w:tcMar>
          </w:tcPr>
          <w:p w14:paraId="082AF2D7" w14:textId="77777777" w:rsidR="00287154" w:rsidRDefault="00000000">
            <w:r>
              <w:rPr>
                <w:b/>
                <w:bCs/>
                <w:color w:val="FFFFFF"/>
                <w:sz w:val="20"/>
                <w:szCs w:val="20"/>
              </w:rPr>
              <w:t>Author Bio</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B2D1D5" w14:textId="77777777" w:rsidR="00287154" w:rsidRDefault="00000000">
            <w:r>
              <w:rPr>
                <w:sz w:val="22"/>
                <w:szCs w:val="22"/>
              </w:rPr>
              <w:t>75 words for Tier 2. Named credentials, named prior publications where available, and one line directly relevant to the piece’s subject.</w:t>
            </w:r>
          </w:p>
        </w:tc>
      </w:tr>
    </w:tbl>
    <w:p w14:paraId="25579155" w14:textId="77777777" w:rsidR="00287154" w:rsidRDefault="00287154">
      <w:pPr>
        <w:spacing w:before="240"/>
      </w:pPr>
    </w:p>
    <w:p w14:paraId="2B6F2560" w14:textId="77777777" w:rsidR="00287154" w:rsidRDefault="00000000">
      <w:pPr>
        <w:pStyle w:val="Heading2"/>
      </w:pPr>
      <w:r>
        <w:t>What arrives with each submission</w:t>
      </w:r>
    </w:p>
    <w:p w14:paraId="61F98FE4" w14:textId="77777777" w:rsidR="00287154" w:rsidRDefault="00000000">
      <w:pPr>
        <w:spacing w:after="200"/>
      </w:pPr>
      <w:r>
        <w:t>Submissions under the Organize the Future — Claim the Future banner arrive as a complete editorial package: manuscript edited to your outlet tier in AP Style, series description paragraph for editor’s reference, Author’s Note to Editor explaining any intentional non-standard styling, author bio in the appropriate word count, and links to supporting graphics in both print-resolution and web-optimized formats.</w:t>
      </w:r>
    </w:p>
    <w:p w14:paraId="3E120AA0" w14:textId="77777777" w:rsidR="00287154" w:rsidRDefault="00000000">
      <w:pPr>
        <w:spacing w:after="200"/>
      </w:pPr>
      <w:r>
        <w:t>The series description paragraph is for your reference only and is not intended for publication. It establishes editorial context and signals the standards the piece has been held to.</w:t>
      </w:r>
    </w:p>
    <w:p w14:paraId="552E6C13" w14:textId="77777777" w:rsidR="00287154" w:rsidRDefault="00000000">
      <w:pPr>
        <w:spacing w:after="200"/>
      </w:pPr>
      <w:r>
        <w:lastRenderedPageBreak/>
        <w:t>Formal classification terms in the Extreme Weather lane — including Winter Storm, Billion Dollar, and Extreme as NOAA designations — are intentionally capitalized throughout and documented in the Author’s Note. The desk asks that this styling be preserved.</w:t>
      </w:r>
    </w:p>
    <w:p w14:paraId="70F4E778" w14:textId="77777777" w:rsidR="00287154" w:rsidRDefault="00000000">
      <w:pPr>
        <w:spacing w:after="200"/>
      </w:pPr>
      <w:r>
        <w:t>Editorial queries welcome at the Contact page. Response within two business days.</w:t>
      </w:r>
    </w:p>
    <w:p w14:paraId="215A06DB" w14:textId="368EB7DB" w:rsidR="00691A5C" w:rsidRDefault="00691A5C">
      <w:pPr>
        <w:spacing w:after="200"/>
      </w:pPr>
      <w:r>
        <w:t>Link to Contact page here</w:t>
      </w:r>
    </w:p>
    <w:sectPr w:rsidR="00691A5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31F9"/>
    <w:multiLevelType w:val="hybridMultilevel"/>
    <w:tmpl w:val="BE986D68"/>
    <w:lvl w:ilvl="0" w:tplc="9BF455B0">
      <w:start w:val="1"/>
      <w:numFmt w:val="bullet"/>
      <w:lvlText w:val="•"/>
      <w:lvlJc w:val="left"/>
      <w:pPr>
        <w:ind w:left="720" w:hanging="360"/>
      </w:pPr>
    </w:lvl>
    <w:lvl w:ilvl="1" w:tplc="C464BAE6">
      <w:numFmt w:val="decimal"/>
      <w:lvlText w:val=""/>
      <w:lvlJc w:val="left"/>
    </w:lvl>
    <w:lvl w:ilvl="2" w:tplc="79CE5DD0">
      <w:numFmt w:val="decimal"/>
      <w:lvlText w:val=""/>
      <w:lvlJc w:val="left"/>
    </w:lvl>
    <w:lvl w:ilvl="3" w:tplc="78C0BF9E">
      <w:numFmt w:val="decimal"/>
      <w:lvlText w:val=""/>
      <w:lvlJc w:val="left"/>
    </w:lvl>
    <w:lvl w:ilvl="4" w:tplc="8DDA5272">
      <w:numFmt w:val="decimal"/>
      <w:lvlText w:val=""/>
      <w:lvlJc w:val="left"/>
    </w:lvl>
    <w:lvl w:ilvl="5" w:tplc="724C673C">
      <w:numFmt w:val="decimal"/>
      <w:lvlText w:val=""/>
      <w:lvlJc w:val="left"/>
    </w:lvl>
    <w:lvl w:ilvl="6" w:tplc="CB482B6E">
      <w:numFmt w:val="decimal"/>
      <w:lvlText w:val=""/>
      <w:lvlJc w:val="left"/>
    </w:lvl>
    <w:lvl w:ilvl="7" w:tplc="84D8ED96">
      <w:numFmt w:val="decimal"/>
      <w:lvlText w:val=""/>
      <w:lvlJc w:val="left"/>
    </w:lvl>
    <w:lvl w:ilvl="8" w:tplc="1B90B80E">
      <w:numFmt w:val="decimal"/>
      <w:lvlText w:val=""/>
      <w:lvlJc w:val="left"/>
    </w:lvl>
  </w:abstractNum>
  <w:abstractNum w:abstractNumId="1" w15:restartNumberingAfterBreak="0">
    <w:nsid w:val="1FEF4CD4"/>
    <w:multiLevelType w:val="hybridMultilevel"/>
    <w:tmpl w:val="0122B206"/>
    <w:lvl w:ilvl="0" w:tplc="013838A6">
      <w:start w:val="1"/>
      <w:numFmt w:val="bullet"/>
      <w:lvlText w:val="●"/>
      <w:lvlJc w:val="left"/>
      <w:pPr>
        <w:ind w:left="720" w:hanging="360"/>
      </w:pPr>
    </w:lvl>
    <w:lvl w:ilvl="1" w:tplc="973A24F4">
      <w:start w:val="1"/>
      <w:numFmt w:val="bullet"/>
      <w:lvlText w:val="○"/>
      <w:lvlJc w:val="left"/>
      <w:pPr>
        <w:ind w:left="1440" w:hanging="360"/>
      </w:pPr>
    </w:lvl>
    <w:lvl w:ilvl="2" w:tplc="FFF4BE66">
      <w:start w:val="1"/>
      <w:numFmt w:val="bullet"/>
      <w:lvlText w:val="■"/>
      <w:lvlJc w:val="left"/>
      <w:pPr>
        <w:ind w:left="2160" w:hanging="360"/>
      </w:pPr>
    </w:lvl>
    <w:lvl w:ilvl="3" w:tplc="F1EA233A">
      <w:start w:val="1"/>
      <w:numFmt w:val="bullet"/>
      <w:lvlText w:val="●"/>
      <w:lvlJc w:val="left"/>
      <w:pPr>
        <w:ind w:left="2880" w:hanging="360"/>
      </w:pPr>
    </w:lvl>
    <w:lvl w:ilvl="4" w:tplc="C4B28746">
      <w:start w:val="1"/>
      <w:numFmt w:val="bullet"/>
      <w:lvlText w:val="○"/>
      <w:lvlJc w:val="left"/>
      <w:pPr>
        <w:ind w:left="3600" w:hanging="360"/>
      </w:pPr>
    </w:lvl>
    <w:lvl w:ilvl="5" w:tplc="1A84787E">
      <w:start w:val="1"/>
      <w:numFmt w:val="bullet"/>
      <w:lvlText w:val="■"/>
      <w:lvlJc w:val="left"/>
      <w:pPr>
        <w:ind w:left="4320" w:hanging="360"/>
      </w:pPr>
    </w:lvl>
    <w:lvl w:ilvl="6" w:tplc="13ECADA4">
      <w:start w:val="1"/>
      <w:numFmt w:val="bullet"/>
      <w:lvlText w:val="●"/>
      <w:lvlJc w:val="left"/>
      <w:pPr>
        <w:ind w:left="5040" w:hanging="360"/>
      </w:pPr>
    </w:lvl>
    <w:lvl w:ilvl="7" w:tplc="E5B84CF6">
      <w:start w:val="1"/>
      <w:numFmt w:val="bullet"/>
      <w:lvlText w:val="●"/>
      <w:lvlJc w:val="left"/>
      <w:pPr>
        <w:ind w:left="5760" w:hanging="360"/>
      </w:pPr>
    </w:lvl>
    <w:lvl w:ilvl="8" w:tplc="0DCA7C94">
      <w:start w:val="1"/>
      <w:numFmt w:val="bullet"/>
      <w:lvlText w:val="●"/>
      <w:lvlJc w:val="left"/>
      <w:pPr>
        <w:ind w:left="6480" w:hanging="360"/>
      </w:pPr>
    </w:lvl>
  </w:abstractNum>
  <w:num w:numId="1" w16cid:durableId="142410850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54"/>
    <w:rsid w:val="00287154"/>
    <w:rsid w:val="004F5560"/>
    <w:rsid w:val="00691A5C"/>
    <w:rsid w:val="008E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58C8"/>
  <w15:docId w15:val="{57DA8708-2D8A-4692-92F7-6E5887AF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213EED"/>
      <w:sz w:val="32"/>
      <w:szCs w:val="32"/>
    </w:rPr>
  </w:style>
  <w:style w:type="paragraph" w:styleId="Heading2">
    <w:name w:val="heading 2"/>
    <w:uiPriority w:val="9"/>
    <w:unhideWhenUsed/>
    <w:qFormat/>
    <w:pPr>
      <w:spacing w:before="300" w:after="100"/>
      <w:outlineLvl w:val="1"/>
    </w:pPr>
    <w:rPr>
      <w:b/>
      <w:bCs/>
      <w:color w:val="213EED"/>
      <w:sz w:val="28"/>
      <w:szCs w:val="28"/>
    </w:rPr>
  </w:style>
  <w:style w:type="paragraph" w:styleId="Heading3">
    <w:name w:val="heading 3"/>
    <w:uiPriority w:val="9"/>
    <w:unhideWhenUsed/>
    <w:qFormat/>
    <w:pPr>
      <w:spacing w:before="240" w:after="80"/>
      <w:outlineLvl w:val="2"/>
    </w:pPr>
    <w:rPr>
      <w:b/>
      <w:bCs/>
      <w:color w:val="0A101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Actio</cp:lastModifiedBy>
  <cp:revision>2</cp:revision>
  <dcterms:created xsi:type="dcterms:W3CDTF">2026-03-29T17:01:00Z</dcterms:created>
  <dcterms:modified xsi:type="dcterms:W3CDTF">2026-03-29T17:34:00Z</dcterms:modified>
</cp:coreProperties>
</file>